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B54" w:rsidRPr="00EE7B54" w:rsidRDefault="00EE7B54" w:rsidP="00EE7B54">
      <w:pPr>
        <w:pStyle w:val="Heading1"/>
        <w:jc w:val="left"/>
        <w:rPr>
          <w:rFonts w:asciiTheme="majorBidi" w:hAnsiTheme="majorBidi" w:cstheme="majorBidi"/>
          <w:sz w:val="24"/>
          <w:szCs w:val="24"/>
          <w:lang w:eastAsia="fr-FR"/>
        </w:rPr>
      </w:pPr>
      <w:r w:rsidRPr="00EE7B54">
        <w:rPr>
          <w:rFonts w:asciiTheme="majorBidi" w:hAnsiTheme="majorBidi" w:cstheme="majorBidi"/>
          <w:i/>
          <w:iCs/>
          <w:sz w:val="24"/>
          <w:szCs w:val="24"/>
          <w:lang w:eastAsia="fr-FR"/>
        </w:rPr>
        <w:t>Bases de données</w:t>
      </w:r>
      <w:r w:rsidRPr="00EE7B54">
        <w:rPr>
          <w:rFonts w:asciiTheme="majorBidi" w:hAnsiTheme="majorBidi" w:cstheme="majorBidi"/>
          <w:sz w:val="24"/>
          <w:szCs w:val="24"/>
          <w:lang w:eastAsia="fr-FR"/>
        </w:rPr>
        <w:tab/>
      </w:r>
      <w:r w:rsidRPr="00EE7B54">
        <w:rPr>
          <w:rFonts w:asciiTheme="majorBidi" w:hAnsiTheme="majorBidi" w:cstheme="majorBidi"/>
          <w:sz w:val="24"/>
          <w:szCs w:val="24"/>
          <w:lang w:eastAsia="fr-FR"/>
        </w:rPr>
        <w:tab/>
      </w:r>
      <w:r w:rsidRPr="00EE7B54">
        <w:rPr>
          <w:rFonts w:asciiTheme="majorBidi" w:hAnsiTheme="majorBidi" w:cstheme="majorBidi"/>
          <w:sz w:val="24"/>
          <w:szCs w:val="24"/>
          <w:lang w:eastAsia="fr-FR"/>
        </w:rPr>
        <w:tab/>
      </w:r>
      <w:r w:rsidRPr="00EE7B54">
        <w:rPr>
          <w:rFonts w:asciiTheme="majorBidi" w:hAnsiTheme="majorBidi" w:cstheme="majorBidi"/>
          <w:sz w:val="24"/>
          <w:szCs w:val="24"/>
          <w:lang w:eastAsia="fr-FR"/>
        </w:rPr>
        <w:tab/>
      </w:r>
      <w:r w:rsidRPr="002D0966">
        <w:rPr>
          <w:rFonts w:asciiTheme="majorBidi" w:hAnsiTheme="majorBidi" w:cstheme="majorBidi"/>
          <w:i/>
          <w:iCs/>
          <w:sz w:val="24"/>
          <w:szCs w:val="24"/>
          <w:highlight w:val="lightGray"/>
        </w:rPr>
        <w:t xml:space="preserve">120 heures (60 </w:t>
      </w:r>
      <w:proofErr w:type="gramStart"/>
      <w:r w:rsidRPr="002D0966">
        <w:rPr>
          <w:rFonts w:asciiTheme="majorBidi" w:hAnsiTheme="majorBidi" w:cstheme="majorBidi"/>
          <w:i/>
          <w:iCs/>
          <w:sz w:val="24"/>
          <w:szCs w:val="24"/>
          <w:highlight w:val="lightGray"/>
        </w:rPr>
        <w:t>cours  +</w:t>
      </w:r>
      <w:proofErr w:type="gramEnd"/>
      <w:r w:rsidRPr="002D0966">
        <w:rPr>
          <w:rFonts w:asciiTheme="majorBidi" w:hAnsiTheme="majorBidi" w:cstheme="majorBidi"/>
          <w:i/>
          <w:iCs/>
          <w:sz w:val="24"/>
          <w:szCs w:val="24"/>
          <w:highlight w:val="lightGray"/>
        </w:rPr>
        <w:t xml:space="preserve">  60 TP)</w:t>
      </w:r>
      <w:r>
        <w:rPr>
          <w:rFonts w:asciiTheme="majorBidi" w:hAnsiTheme="majorBidi" w:cstheme="majorBidi"/>
          <w:sz w:val="24"/>
          <w:szCs w:val="24"/>
          <w:lang w:eastAsia="fr-FR"/>
        </w:rPr>
        <w:t xml:space="preserve"> </w:t>
      </w:r>
    </w:p>
    <w:p w:rsidR="00576FDF" w:rsidRPr="004F65BA" w:rsidRDefault="00576FDF" w:rsidP="00EE7B54">
      <w:pPr>
        <w:spacing w:line="240" w:lineRule="auto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4F65BA">
        <w:rPr>
          <w:rFonts w:asciiTheme="majorBidi" w:hAnsiTheme="majorBidi" w:cstheme="majorBidi"/>
          <w:b/>
          <w:bCs/>
          <w:i/>
          <w:iCs/>
          <w:sz w:val="24"/>
          <w:szCs w:val="24"/>
        </w:rPr>
        <w:t>Description de la matière</w:t>
      </w:r>
    </w:p>
    <w:p w:rsidR="00576FDF" w:rsidRPr="004F65BA" w:rsidRDefault="00576FDF" w:rsidP="00576FDF">
      <w:pPr>
        <w:spacing w:before="60" w:after="60" w:line="240" w:lineRule="auto"/>
        <w:ind w:firstLine="720"/>
        <w:contextualSpacing/>
        <w:jc w:val="lowKashida"/>
        <w:rPr>
          <w:rFonts w:asciiTheme="majorBidi" w:hAnsiTheme="majorBidi" w:cstheme="majorBidi"/>
          <w:sz w:val="24"/>
          <w:szCs w:val="24"/>
        </w:rPr>
      </w:pPr>
    </w:p>
    <w:p w:rsidR="00576FDF" w:rsidRPr="004F65BA" w:rsidRDefault="00576FDF" w:rsidP="00576FDF">
      <w:pPr>
        <w:spacing w:before="60" w:after="60" w:line="240" w:lineRule="auto"/>
        <w:ind w:firstLine="720"/>
        <w:contextualSpacing/>
        <w:jc w:val="lowKashida"/>
        <w:rPr>
          <w:rFonts w:asciiTheme="majorBidi" w:hAnsiTheme="majorBidi" w:cstheme="majorBidi"/>
          <w:sz w:val="24"/>
          <w:szCs w:val="24"/>
        </w:rPr>
      </w:pPr>
      <w:r w:rsidRPr="004F65BA">
        <w:rPr>
          <w:rFonts w:asciiTheme="majorBidi" w:hAnsiTheme="majorBidi" w:cstheme="majorBidi"/>
          <w:sz w:val="24"/>
          <w:szCs w:val="24"/>
        </w:rPr>
        <w:t xml:space="preserve">Cette matière </w:t>
      </w:r>
      <w:r>
        <w:rPr>
          <w:rFonts w:asciiTheme="majorBidi" w:hAnsiTheme="majorBidi" w:cstheme="majorBidi"/>
          <w:sz w:val="24"/>
          <w:szCs w:val="24"/>
        </w:rPr>
        <w:t xml:space="preserve">vise à approfondir les concepts de Bases de données abordés dans la matière Bases de données TS1 et à présenter les fonctions d’un SGBD (Oracle) à travers la description du langage SQL,  l’utilisation d’un langage procédural avec SQL (PL/SQL de Oracle) et la  présentation </w:t>
      </w:r>
      <w:r w:rsidRPr="004F65B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de concepts: sécurité de données, contrôle de concurrence et stockage de données. </w:t>
      </w:r>
    </w:p>
    <w:p w:rsidR="00576FDF" w:rsidRPr="004F65BA" w:rsidRDefault="00576FDF" w:rsidP="00576FDF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576FDF" w:rsidRPr="004F65BA" w:rsidRDefault="00576FDF" w:rsidP="00576FDF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4F65B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Objectifs de la </w:t>
      </w:r>
      <w:r w:rsidRPr="004F65BA">
        <w:rPr>
          <w:rFonts w:asciiTheme="majorBidi" w:hAnsiTheme="majorBidi" w:cstheme="majorBidi"/>
          <w:b/>
          <w:bCs/>
          <w:i/>
          <w:iCs/>
          <w:sz w:val="24"/>
          <w:szCs w:val="24"/>
        </w:rPr>
        <w:t>matière</w:t>
      </w:r>
    </w:p>
    <w:p w:rsidR="00576FDF" w:rsidRPr="004F65BA" w:rsidRDefault="00576FDF" w:rsidP="00576FDF">
      <w:pPr>
        <w:spacing w:after="0" w:line="240" w:lineRule="auto"/>
        <w:ind w:left="288" w:right="-1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F65BA">
        <w:rPr>
          <w:rFonts w:asciiTheme="majorBidi" w:hAnsiTheme="majorBidi" w:cstheme="majorBidi"/>
          <w:sz w:val="24"/>
          <w:szCs w:val="24"/>
          <w:lang w:eastAsia="fr-FR"/>
        </w:rPr>
        <w:t xml:space="preserve">L’objectif de cette matière est </w:t>
      </w:r>
      <w:r>
        <w:rPr>
          <w:rFonts w:asciiTheme="majorBidi" w:hAnsiTheme="majorBidi" w:cstheme="majorBidi"/>
          <w:sz w:val="24"/>
          <w:szCs w:val="24"/>
          <w:lang w:eastAsia="fr-FR"/>
        </w:rPr>
        <w:t>d’initier les étudiants à maitriser</w:t>
      </w:r>
      <w:r w:rsidRPr="004F65BA">
        <w:rPr>
          <w:rFonts w:asciiTheme="majorBidi" w:hAnsiTheme="majorBidi" w:cstheme="majorBidi"/>
          <w:sz w:val="24"/>
          <w:szCs w:val="24"/>
          <w:lang w:eastAsia="fr-FR"/>
        </w:rPr>
        <w:t xml:space="preserve">: </w:t>
      </w:r>
    </w:p>
    <w:p w:rsidR="00576FDF" w:rsidRPr="004F65BA" w:rsidRDefault="00576FDF" w:rsidP="00576FDF">
      <w:pPr>
        <w:spacing w:after="0" w:line="240" w:lineRule="auto"/>
        <w:ind w:left="288" w:right="-1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F65BA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4F65BA">
        <w:rPr>
          <w:rFonts w:asciiTheme="majorBidi" w:hAnsiTheme="majorBidi" w:cstheme="majorBidi"/>
          <w:sz w:val="24"/>
          <w:szCs w:val="24"/>
          <w:lang w:eastAsia="fr-FR"/>
        </w:rPr>
        <w:tab/>
      </w:r>
      <w:r>
        <w:rPr>
          <w:rFonts w:asciiTheme="majorBidi" w:hAnsiTheme="majorBidi" w:cstheme="majorBidi"/>
          <w:sz w:val="24"/>
          <w:szCs w:val="24"/>
          <w:lang w:eastAsia="fr-FR"/>
        </w:rPr>
        <w:t>Le langage SQL avec ses différents aspects.</w:t>
      </w:r>
    </w:p>
    <w:p w:rsidR="00576FDF" w:rsidRPr="004F65BA" w:rsidRDefault="00576FDF" w:rsidP="00576FDF">
      <w:pPr>
        <w:spacing w:after="0" w:line="240" w:lineRule="auto"/>
        <w:ind w:left="288" w:right="-1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F65BA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4F65BA">
        <w:rPr>
          <w:rFonts w:asciiTheme="majorBidi" w:hAnsiTheme="majorBidi" w:cstheme="majorBidi"/>
          <w:sz w:val="24"/>
          <w:szCs w:val="24"/>
          <w:lang w:eastAsia="fr-FR"/>
        </w:rPr>
        <w:tab/>
      </w:r>
      <w:r>
        <w:rPr>
          <w:rFonts w:asciiTheme="majorBidi" w:hAnsiTheme="majorBidi" w:cstheme="majorBidi"/>
          <w:sz w:val="24"/>
          <w:szCs w:val="24"/>
          <w:lang w:eastAsia="fr-FR"/>
        </w:rPr>
        <w:t>L’utilisation du langage procédural PL /SQL</w:t>
      </w:r>
      <w:r w:rsidRPr="004F65BA">
        <w:rPr>
          <w:rFonts w:asciiTheme="majorBidi" w:hAnsiTheme="majorBidi" w:cstheme="majorBidi"/>
          <w:sz w:val="24"/>
          <w:szCs w:val="24"/>
          <w:lang w:eastAsia="fr-FR"/>
        </w:rPr>
        <w:t>.</w:t>
      </w:r>
    </w:p>
    <w:p w:rsidR="00576FDF" w:rsidRPr="004F65BA" w:rsidRDefault="00576FDF" w:rsidP="00576FDF">
      <w:pPr>
        <w:spacing w:after="0" w:line="240" w:lineRule="auto"/>
        <w:ind w:left="288" w:right="-1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4F65BA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4F65BA">
        <w:rPr>
          <w:rFonts w:asciiTheme="majorBidi" w:hAnsiTheme="majorBidi" w:cstheme="majorBidi"/>
          <w:sz w:val="24"/>
          <w:szCs w:val="24"/>
          <w:lang w:eastAsia="fr-FR"/>
        </w:rPr>
        <w:tab/>
      </w:r>
      <w:r>
        <w:rPr>
          <w:rFonts w:asciiTheme="majorBidi" w:hAnsiTheme="majorBidi" w:cstheme="majorBidi"/>
          <w:sz w:val="24"/>
          <w:szCs w:val="24"/>
          <w:lang w:eastAsia="fr-FR"/>
        </w:rPr>
        <w:t>Les principales fonctions d’un SGBD</w:t>
      </w:r>
      <w:r w:rsidRPr="004F65BA">
        <w:rPr>
          <w:rFonts w:asciiTheme="majorBidi" w:hAnsiTheme="majorBidi" w:cstheme="majorBidi"/>
          <w:sz w:val="24"/>
          <w:szCs w:val="24"/>
          <w:lang w:eastAsia="fr-FR"/>
        </w:rPr>
        <w:t xml:space="preserve"> …</w:t>
      </w:r>
    </w:p>
    <w:p w:rsidR="00576FDF" w:rsidRPr="004F65BA" w:rsidRDefault="00576FDF" w:rsidP="00576FDF">
      <w:pPr>
        <w:spacing w:after="0" w:line="240" w:lineRule="auto"/>
        <w:ind w:left="288" w:right="-14" w:hanging="288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576FDF" w:rsidRPr="004F65BA" w:rsidRDefault="00576FDF" w:rsidP="00576FDF">
      <w:pPr>
        <w:spacing w:line="240" w:lineRule="auto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576FDF" w:rsidRPr="004F65BA" w:rsidRDefault="00576FDF" w:rsidP="00576FDF">
      <w:pPr>
        <w:spacing w:line="240" w:lineRule="auto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4F65BA">
        <w:rPr>
          <w:rFonts w:asciiTheme="majorBidi" w:hAnsiTheme="majorBidi" w:cstheme="majorBidi"/>
          <w:b/>
          <w:bCs/>
          <w:i/>
          <w:iCs/>
          <w:sz w:val="24"/>
          <w:szCs w:val="24"/>
        </w:rPr>
        <w:t>Pré-requis</w:t>
      </w:r>
      <w:proofErr w:type="spellEnd"/>
    </w:p>
    <w:p w:rsidR="00576FDF" w:rsidRPr="004F65BA" w:rsidRDefault="00576FDF" w:rsidP="00576FDF">
      <w:pPr>
        <w:spacing w:line="240" w:lineRule="auto"/>
        <w:ind w:firstLine="720"/>
        <w:contextualSpacing/>
        <w:rPr>
          <w:rFonts w:asciiTheme="majorBidi" w:hAnsiTheme="majorBidi" w:cstheme="majorBidi"/>
          <w:sz w:val="24"/>
          <w:szCs w:val="24"/>
        </w:rPr>
      </w:pPr>
    </w:p>
    <w:p w:rsidR="00576FDF" w:rsidRPr="004F65BA" w:rsidRDefault="00576FDF" w:rsidP="00576FDF">
      <w:pPr>
        <w:spacing w:line="240" w:lineRule="auto"/>
        <w:ind w:firstLine="720"/>
        <w:contextualSpacing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Bases de données de TS1.</w:t>
      </w:r>
    </w:p>
    <w:p w:rsidR="00576FDF" w:rsidRPr="004F65BA" w:rsidRDefault="00576FDF" w:rsidP="00576FDF">
      <w:pPr>
        <w:spacing w:line="240" w:lineRule="auto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576FDF" w:rsidRPr="004F65BA" w:rsidRDefault="00576FDF" w:rsidP="00576FDF">
      <w:pPr>
        <w:spacing w:line="240" w:lineRule="auto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4F65BA">
        <w:rPr>
          <w:rFonts w:asciiTheme="majorBidi" w:hAnsiTheme="majorBidi" w:cstheme="majorBidi"/>
          <w:b/>
          <w:bCs/>
          <w:i/>
          <w:iCs/>
          <w:sz w:val="24"/>
          <w:szCs w:val="24"/>
        </w:rPr>
        <w:t>Compétences et capacités (Résultats d’apprentissage)</w:t>
      </w:r>
    </w:p>
    <w:p w:rsidR="00576FDF" w:rsidRDefault="00576FDF" w:rsidP="00576FDF">
      <w:pPr>
        <w:rPr>
          <w:rFonts w:asciiTheme="majorBidi" w:eastAsia="Calibri" w:hAnsiTheme="majorBidi" w:cstheme="majorBidi"/>
          <w:sz w:val="24"/>
          <w:szCs w:val="24"/>
        </w:rPr>
      </w:pPr>
    </w:p>
    <w:p w:rsidR="00576FDF" w:rsidRPr="002452CC" w:rsidRDefault="00576FDF" w:rsidP="00576FDF">
      <w:pPr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 xml:space="preserve"> A l’issue de cette matière l’étudiant sera capable de :</w:t>
      </w:r>
    </w:p>
    <w:p w:rsidR="00576FDF" w:rsidRDefault="00576FDF" w:rsidP="00576FDF">
      <w:pPr>
        <w:pStyle w:val="ListParagraph"/>
        <w:numPr>
          <w:ilvl w:val="0"/>
          <w:numId w:val="6"/>
        </w:numPr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Maitriser les fonctions d’un SGBD</w:t>
      </w:r>
    </w:p>
    <w:p w:rsidR="00576FDF" w:rsidRDefault="00576FDF" w:rsidP="00576FDF">
      <w:pPr>
        <w:pStyle w:val="ListParagraph"/>
        <w:numPr>
          <w:ilvl w:val="0"/>
          <w:numId w:val="6"/>
        </w:numPr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Maitriser le langage SQL</w:t>
      </w:r>
    </w:p>
    <w:p w:rsidR="00576FDF" w:rsidRPr="002452CC" w:rsidRDefault="00576FDF" w:rsidP="00576FDF">
      <w:pPr>
        <w:pStyle w:val="ListParagraph"/>
        <w:numPr>
          <w:ilvl w:val="0"/>
          <w:numId w:val="6"/>
        </w:numPr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Utiliser un langage procédural avec SQL</w:t>
      </w:r>
    </w:p>
    <w:p w:rsidR="00576FDF" w:rsidRPr="004F65BA" w:rsidRDefault="00576FDF" w:rsidP="00576FDF">
      <w:pPr>
        <w:spacing w:after="0" w:line="240" w:lineRule="auto"/>
        <w:ind w:firstLine="720"/>
        <w:rPr>
          <w:rFonts w:asciiTheme="majorBidi" w:hAnsiTheme="majorBidi" w:cstheme="majorBidi"/>
          <w:sz w:val="24"/>
          <w:szCs w:val="24"/>
        </w:rPr>
      </w:pPr>
    </w:p>
    <w:p w:rsidR="00576FDF" w:rsidRDefault="00576FDF" w:rsidP="00576FDF">
      <w:pPr>
        <w:spacing w:after="0"/>
        <w:rPr>
          <w:rFonts w:asciiTheme="majorBidi" w:hAnsiTheme="majorBidi" w:cstheme="majorBidi"/>
          <w:sz w:val="24"/>
          <w:szCs w:val="24"/>
        </w:rPr>
      </w:pPr>
      <w:r w:rsidRPr="004F65BA">
        <w:rPr>
          <w:rFonts w:asciiTheme="majorBidi" w:hAnsiTheme="majorBidi" w:cstheme="majorBidi"/>
          <w:b/>
          <w:bCs/>
          <w:i/>
          <w:iCs/>
          <w:sz w:val="24"/>
          <w:szCs w:val="24"/>
        </w:rPr>
        <w:t>Contenu</w:t>
      </w:r>
      <w:r w:rsidRPr="004F65BA">
        <w:rPr>
          <w:rFonts w:asciiTheme="majorBidi" w:hAnsiTheme="majorBidi" w:cstheme="majorBidi"/>
          <w:sz w:val="24"/>
          <w:szCs w:val="24"/>
        </w:rPr>
        <w:t xml:space="preserve"> </w:t>
      </w:r>
    </w:p>
    <w:p w:rsidR="00576FDF" w:rsidRPr="004F65BA" w:rsidRDefault="00576FDF" w:rsidP="00576FDF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10194" w:type="dxa"/>
        <w:tblLook w:val="04A0" w:firstRow="1" w:lastRow="0" w:firstColumn="1" w:lastColumn="0" w:noHBand="0" w:noVBand="1"/>
      </w:tblPr>
      <w:tblGrid>
        <w:gridCol w:w="6858"/>
        <w:gridCol w:w="3336"/>
      </w:tblGrid>
      <w:tr w:rsidR="00576FDF" w:rsidRPr="004F65BA" w:rsidTr="00576FDF">
        <w:tc>
          <w:tcPr>
            <w:tcW w:w="6858" w:type="dxa"/>
          </w:tcPr>
          <w:p w:rsidR="00576FDF" w:rsidRPr="000E1082" w:rsidRDefault="00576FDF" w:rsidP="00576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082">
              <w:rPr>
                <w:rFonts w:ascii="Times New Roman" w:hAnsi="Times New Roman" w:cs="Times New Roman"/>
                <w:sz w:val="24"/>
                <w:szCs w:val="24"/>
              </w:rPr>
              <w:t>Chapitres</w:t>
            </w:r>
          </w:p>
        </w:tc>
        <w:tc>
          <w:tcPr>
            <w:tcW w:w="3336" w:type="dxa"/>
          </w:tcPr>
          <w:p w:rsidR="00576FDF" w:rsidRPr="004F65BA" w:rsidRDefault="00576FDF" w:rsidP="00576FD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F65BA">
              <w:rPr>
                <w:rFonts w:asciiTheme="majorBidi" w:hAnsiTheme="majorBidi" w:cstheme="majorBidi"/>
                <w:sz w:val="24"/>
                <w:szCs w:val="24"/>
              </w:rPr>
              <w:t xml:space="preserve">&lt;Exercices dirigés&gt; </w:t>
            </w:r>
          </w:p>
        </w:tc>
      </w:tr>
      <w:tr w:rsidR="00576FDF" w:rsidRPr="004F65BA" w:rsidTr="00576FDF">
        <w:tc>
          <w:tcPr>
            <w:tcW w:w="6858" w:type="dxa"/>
          </w:tcPr>
          <w:p w:rsidR="00576FDF" w:rsidRPr="001B4522" w:rsidRDefault="00576FDF" w:rsidP="00576FDF">
            <w:pPr>
              <w:pStyle w:val="Title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</w:rPr>
              <w:t xml:space="preserve">Chapitre </w:t>
            </w:r>
            <w:r>
              <w:rPr>
                <w:rFonts w:asciiTheme="majorBidi" w:hAnsiTheme="majorBidi" w:cstheme="majorBidi"/>
                <w:caps w:val="0"/>
                <w:sz w:val="24"/>
                <w:szCs w:val="24"/>
              </w:rPr>
              <w:t>1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</w:rPr>
              <w:t>: Les bases de données et les systèmes de gestion des bases de données (</w:t>
            </w:r>
            <w:r>
              <w:rPr>
                <w:rFonts w:asciiTheme="majorBidi" w:hAnsiTheme="majorBidi" w:cstheme="majorBidi"/>
                <w:caps w:val="0"/>
                <w:sz w:val="24"/>
                <w:szCs w:val="24"/>
              </w:rPr>
              <w:t>8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</w:rPr>
              <w:t xml:space="preserve"> h)</w:t>
            </w:r>
          </w:p>
          <w:p w:rsidR="00576FDF" w:rsidRPr="001B4522" w:rsidRDefault="00576FDF" w:rsidP="00576FDF">
            <w:pPr>
              <w:ind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1. Le concept de bases de données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 et SGBD</w:t>
            </w:r>
          </w:p>
          <w:p w:rsidR="00576FDF" w:rsidRDefault="00576FDF" w:rsidP="00576FDF">
            <w:pPr>
              <w:ind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2. Caractéristiques des bases de données </w:t>
            </w:r>
          </w:p>
          <w:p w:rsidR="00576FDF" w:rsidRDefault="00576FDF" w:rsidP="00576FDF">
            <w:pPr>
              <w:ind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3. Architecture d’un SGBD – niveaux de description de données</w:t>
            </w:r>
          </w:p>
          <w:p w:rsidR="00576FDF" w:rsidRDefault="00576FDF" w:rsidP="00576FDF">
            <w:pPr>
              <w:ind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4. Indépendance de données </w:t>
            </w:r>
          </w:p>
          <w:p w:rsidR="00576FDF" w:rsidRPr="001B4522" w:rsidRDefault="00576FDF" w:rsidP="00576FDF">
            <w:pPr>
              <w:ind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5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. Les langages de données</w:t>
            </w:r>
          </w:p>
          <w:p w:rsidR="00576FDF" w:rsidRPr="001B4522" w:rsidRDefault="00576FDF" w:rsidP="00576FDF">
            <w:pPr>
              <w:ind w:left="720" w:right="720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5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.1 DDL (Langage de définition de données)</w:t>
            </w:r>
          </w:p>
          <w:p w:rsidR="00576FDF" w:rsidRPr="001B4522" w:rsidRDefault="00576FDF" w:rsidP="00576FDF">
            <w:pPr>
              <w:ind w:left="720" w:right="720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5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.2 DML (Langage de manipulation de données)</w:t>
            </w:r>
          </w:p>
          <w:p w:rsidR="00576FDF" w:rsidRDefault="00576FDF" w:rsidP="00576FDF">
            <w:pPr>
              <w:ind w:left="720"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5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.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3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 Le langage d’interrogation de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 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données</w:t>
            </w:r>
          </w:p>
          <w:p w:rsidR="00576FDF" w:rsidRDefault="00576FDF" w:rsidP="00576FDF">
            <w:pPr>
              <w:ind w:left="720"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5.4 Le langage de contrôle de données</w:t>
            </w:r>
          </w:p>
          <w:p w:rsidR="00576FDF" w:rsidRPr="001B4522" w:rsidRDefault="00576FDF" w:rsidP="00576FDF">
            <w:pPr>
              <w:ind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6. Les fonctions d’un SGBD</w:t>
            </w:r>
          </w:p>
          <w:p w:rsidR="00576FDF" w:rsidRPr="001B4522" w:rsidRDefault="00576FDF" w:rsidP="00576FDF">
            <w:pPr>
              <w:ind w:left="360"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6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.1 Cohérence de données 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-C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ontrôle d’intégrité</w:t>
            </w:r>
          </w:p>
          <w:p w:rsidR="00576FDF" w:rsidRPr="001B4522" w:rsidRDefault="00576FDF" w:rsidP="00576FDF">
            <w:pPr>
              <w:ind w:left="360"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lastRenderedPageBreak/>
              <w:t>6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.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2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Partage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abilité</w:t>
            </w:r>
            <w:proofErr w:type="spellEnd"/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 de données</w:t>
            </w:r>
          </w:p>
          <w:p w:rsidR="00576FDF" w:rsidRPr="001B4522" w:rsidRDefault="00576FDF" w:rsidP="00576FDF">
            <w:pPr>
              <w:ind w:left="360"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6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.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3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 Contrôle d’accès simultané aux données</w:t>
            </w:r>
          </w:p>
          <w:p w:rsidR="00576FDF" w:rsidRPr="001B4522" w:rsidRDefault="00576FDF" w:rsidP="00576FDF">
            <w:pPr>
              <w:ind w:left="360"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6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.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5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 La sécurité des données</w:t>
            </w:r>
          </w:p>
          <w:p w:rsidR="00576FDF" w:rsidRPr="001B4522" w:rsidRDefault="00576FDF" w:rsidP="00576FDF">
            <w:pPr>
              <w:ind w:left="360" w:right="720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6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.6 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S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auvegarde et restauration de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 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données</w:t>
            </w:r>
          </w:p>
          <w:p w:rsidR="00576FDF" w:rsidRPr="001B4522" w:rsidRDefault="00576FDF" w:rsidP="00576FDF">
            <w:pPr>
              <w:ind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7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. L’administrateur de bases de données</w:t>
            </w:r>
          </w:p>
          <w:p w:rsidR="00576FDF" w:rsidRDefault="00576FDF" w:rsidP="00576FDF">
            <w:pPr>
              <w:ind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8. Classification des bases de données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 : 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centralisées / distribuées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 ;  </w:t>
            </w:r>
          </w:p>
          <w:p w:rsidR="00576FDF" w:rsidRDefault="00576FDF" w:rsidP="00576FDF">
            <w:pPr>
              <w:ind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    H</w:t>
            </w:r>
            <w:r w:rsidRPr="001B4522"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omogènes / hétérogènes</w:t>
            </w: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 xml:space="preserve"> ; </w:t>
            </w:r>
          </w:p>
          <w:p w:rsidR="00576FDF" w:rsidRPr="001B4522" w:rsidRDefault="00576FDF" w:rsidP="00576FDF">
            <w:pPr>
              <w:ind w:right="284"/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  <w:lang w:eastAsia="fr-FR"/>
              </w:rPr>
              <w:t>9. Familles de SGBD : Hiérarchique, Relationnel, Orienté-objet, Relationnel-objet</w:t>
            </w:r>
          </w:p>
          <w:p w:rsidR="00576FDF" w:rsidRPr="000E1082" w:rsidRDefault="00576FDF" w:rsidP="00576F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576FDF" w:rsidRPr="004F65BA" w:rsidRDefault="00576FDF" w:rsidP="00576FD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6FDF" w:rsidRPr="004F65BA" w:rsidTr="00576FDF">
        <w:tc>
          <w:tcPr>
            <w:tcW w:w="6858" w:type="dxa"/>
          </w:tcPr>
          <w:p w:rsidR="00576FDF" w:rsidRPr="0017261D" w:rsidRDefault="00576FDF" w:rsidP="00576FDF">
            <w:pPr>
              <w:pStyle w:val="Titl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lastRenderedPageBreak/>
              <w:t>Chapitre 2</w:t>
            </w:r>
            <w:r>
              <w:rPr>
                <w:rFonts w:ascii="Times New Roman" w:hAnsi="Times New Roman" w:cs="Times New Roman"/>
                <w:caps w:val="0"/>
                <w:sz w:val="24"/>
                <w:szCs w:val="24"/>
              </w:rPr>
              <w:t xml:space="preserve"> : </w:t>
            </w: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t xml:space="preserve">SQL </w:t>
            </w:r>
            <w:r>
              <w:rPr>
                <w:rFonts w:ascii="Times New Roman" w:hAnsi="Times New Roman" w:cs="Times New Roman"/>
                <w:caps w:val="0"/>
                <w:sz w:val="24"/>
                <w:szCs w:val="24"/>
              </w:rPr>
              <w:t xml:space="preserve">Avancé </w:t>
            </w: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aps w:val="0"/>
                <w:sz w:val="24"/>
                <w:szCs w:val="24"/>
              </w:rPr>
              <w:t>18</w:t>
            </w: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t xml:space="preserve"> </w:t>
            </w: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  <w:lang w:eastAsia="fr-FR"/>
              </w:rPr>
              <w:t>h</w:t>
            </w: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t xml:space="preserve">) </w:t>
            </w:r>
          </w:p>
          <w:p w:rsidR="00576FDF" w:rsidRPr="000E1082" w:rsidRDefault="00576FDF" w:rsidP="00576FDF">
            <w:pPr>
              <w:pStyle w:val="ListParagraph"/>
              <w:numPr>
                <w:ilvl w:val="0"/>
                <w:numId w:val="23"/>
              </w:numPr>
              <w:ind w:right="-1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Les</w:t>
            </w:r>
            <w:r w:rsidRPr="000E108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Commandes 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DD</w:t>
            </w:r>
          </w:p>
          <w:p w:rsidR="00576FDF" w:rsidRDefault="00576FDF" w:rsidP="00576FDF">
            <w:pPr>
              <w:pStyle w:val="ListParagraph"/>
              <w:numPr>
                <w:ilvl w:val="0"/>
                <w:numId w:val="137"/>
              </w:numPr>
              <w:ind w:right="-1"/>
              <w:jc w:val="lowKashida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Rappel de commandes de base</w:t>
            </w:r>
            <w:r w:rsidRPr="00C638BB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.</w:t>
            </w:r>
          </w:p>
          <w:p w:rsidR="00576FDF" w:rsidRDefault="00576FDF" w:rsidP="00576FDF">
            <w:pPr>
              <w:pStyle w:val="ListParagraph"/>
              <w:numPr>
                <w:ilvl w:val="0"/>
                <w:numId w:val="137"/>
              </w:numPr>
              <w:ind w:right="-1"/>
              <w:jc w:val="lowKashida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 w:rsidRPr="00C62DD7">
              <w:rPr>
                <w:rFonts w:ascii="Times New Roman" w:hAnsi="Times New Roman" w:cs="Times New Roman"/>
                <w:sz w:val="24"/>
                <w:szCs w:val="24"/>
              </w:rPr>
              <w:t>Gestion de contraintes :</w:t>
            </w:r>
            <w:r w:rsidRPr="00C62DD7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 Enlever, activer ou inactiver une contrainte.  </w:t>
            </w:r>
          </w:p>
          <w:p w:rsidR="00576FDF" w:rsidRDefault="00576FDF" w:rsidP="00576FDF">
            <w:pPr>
              <w:pStyle w:val="ListParagraph"/>
              <w:numPr>
                <w:ilvl w:val="0"/>
                <w:numId w:val="137"/>
              </w:numPr>
              <w:ind w:right="-1"/>
              <w:jc w:val="lowKashida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Création d’index explicite</w:t>
            </w:r>
          </w:p>
          <w:p w:rsidR="00576FDF" w:rsidRPr="00C62DD7" w:rsidRDefault="00576FDF" w:rsidP="00576FDF">
            <w:pPr>
              <w:pStyle w:val="ListParagraph"/>
              <w:numPr>
                <w:ilvl w:val="0"/>
                <w:numId w:val="137"/>
              </w:numPr>
              <w:ind w:right="-1"/>
              <w:jc w:val="lowKashida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Création et utilisation de Séquences</w:t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23"/>
              </w:numPr>
              <w:ind w:right="-1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C638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a commande Select</w:t>
            </w:r>
          </w:p>
          <w:p w:rsidR="00576FDF" w:rsidRPr="00325F24" w:rsidRDefault="00576FDF" w:rsidP="00576FDF">
            <w:pPr>
              <w:pStyle w:val="ListParagraph"/>
              <w:numPr>
                <w:ilvl w:val="0"/>
                <w:numId w:val="25"/>
              </w:numPr>
              <w:ind w:left="108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5F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Rappel de clauses de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SELECT</w:t>
            </w:r>
            <w:r w:rsidRPr="00325F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26"/>
              </w:num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>Les expressions et fonctions simples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 xml:space="preserve"> arithmétiques, chaînes de caractères, dates,… (Quelques </w:t>
            </w:r>
            <w:proofErr w:type="spellStart"/>
            <w:r w:rsidRPr="00C638BB">
              <w:rPr>
                <w:rFonts w:ascii="Times New Roman" w:hAnsi="Times New Roman" w:cs="Times New Roman"/>
                <w:sz w:val="24"/>
                <w:szCs w:val="24"/>
              </w:rPr>
              <w:t>Built</w:t>
            </w:r>
            <w:proofErr w:type="spellEnd"/>
            <w:r w:rsidRPr="00C638BB">
              <w:rPr>
                <w:rFonts w:ascii="Times New Roman" w:hAnsi="Times New Roman" w:cs="Times New Roman"/>
                <w:sz w:val="24"/>
                <w:szCs w:val="24"/>
              </w:rPr>
              <w:t>-in fonctions)</w:t>
            </w:r>
          </w:p>
          <w:p w:rsidR="00576FDF" w:rsidRPr="00C638BB" w:rsidRDefault="00566FCF" w:rsidP="00576FDF">
            <w:pPr>
              <w:pStyle w:val="ListParagraph"/>
              <w:numPr>
                <w:ilvl w:val="0"/>
                <w:numId w:val="26"/>
              </w:num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anchor="50" w:history="1">
              <w:r w:rsidR="00576FDF" w:rsidRPr="00C638BB">
                <w:rPr>
                  <w:rFonts w:ascii="Times New Roman" w:hAnsi="Times New Roman" w:cs="Times New Roman"/>
                  <w:sz w:val="24"/>
                  <w:szCs w:val="24"/>
                </w:rPr>
                <w:t>Fonctions de conversion</w:t>
              </w:r>
            </w:hyperlink>
          </w:p>
          <w:p w:rsidR="00576FDF" w:rsidRPr="00C638BB" w:rsidRDefault="00566FCF" w:rsidP="00576FDF">
            <w:pPr>
              <w:pStyle w:val="ListParagraph"/>
              <w:numPr>
                <w:ilvl w:val="0"/>
                <w:numId w:val="26"/>
              </w:num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anchor="57" w:history="1">
              <w:r w:rsidR="00576FDF" w:rsidRPr="00C638BB">
                <w:rPr>
                  <w:rFonts w:ascii="Times New Roman" w:hAnsi="Times New Roman" w:cs="Times New Roman"/>
                  <w:sz w:val="24"/>
                  <w:szCs w:val="24"/>
                </w:rPr>
                <w:t>Autres fonctions</w:t>
              </w:r>
            </w:hyperlink>
          </w:p>
          <w:p w:rsidR="00576FDF" w:rsidRPr="002A6D12" w:rsidRDefault="00576FDF" w:rsidP="00576FDF">
            <w:pPr>
              <w:numPr>
                <w:ilvl w:val="0"/>
                <w:numId w:val="23"/>
              </w:numPr>
              <w:ind w:left="576" w:right="-1" w:hanging="576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A6D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Les sous-requêtes </w:t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Sous- requêtes ramenant plusieurs lignes.</w:t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Sous- requêtes ramenant plusieurs colonnes.</w:t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Sous- requêtes synchronisées avec l'interrogation principale.</w:t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Utilisation de </w:t>
            </w:r>
            <w:r w:rsidRPr="00C638BB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Sous- requêtes </w:t>
            </w: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avec la clause FROM</w:t>
            </w:r>
            <w:r w:rsidRPr="00C638BB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. </w:t>
            </w:r>
          </w:p>
          <w:p w:rsidR="00576FDF" w:rsidRPr="002A6D12" w:rsidRDefault="00576FDF" w:rsidP="00576FDF">
            <w:pPr>
              <w:numPr>
                <w:ilvl w:val="0"/>
                <w:numId w:val="23"/>
              </w:numPr>
              <w:ind w:left="576" w:right="-1" w:hanging="576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A6D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Les Variables De Système De SQL*Plus.  </w:t>
            </w:r>
          </w:p>
          <w:p w:rsidR="00576FDF" w:rsidRPr="002A6D12" w:rsidRDefault="00576FDF" w:rsidP="00576FDF">
            <w:pPr>
              <w:numPr>
                <w:ilvl w:val="0"/>
                <w:numId w:val="23"/>
              </w:numPr>
              <w:ind w:left="576" w:right="-1" w:hanging="576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A6D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Le dossier de manuscrit.  " Script file" </w:t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28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 xml:space="preserve">Construire un dossier de manuscrit.  </w:t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28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 xml:space="preserve">Indiquer les variables au temps d'exécution.  </w:t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28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 xml:space="preserve">Passant les valeurs dans un manuscrit.  </w:t>
            </w:r>
          </w:p>
          <w:p w:rsidR="00576FDF" w:rsidRPr="002A6D12" w:rsidRDefault="00576FDF" w:rsidP="00576FDF">
            <w:pPr>
              <w:numPr>
                <w:ilvl w:val="0"/>
                <w:numId w:val="23"/>
              </w:numPr>
              <w:ind w:left="576" w:right="-1" w:hanging="576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A6D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Manipulation de données.</w:t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29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Rappel de INSERT, UPDATE et DELETE</w:t>
            </w: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29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 xml:space="preserve">Traitement transactionnel:  </w:t>
            </w:r>
            <w:proofErr w:type="spellStart"/>
            <w:r w:rsidRPr="00C638BB">
              <w:rPr>
                <w:rFonts w:ascii="Times New Roman" w:hAnsi="Times New Roman" w:cs="Times New Roman"/>
                <w:sz w:val="24"/>
                <w:szCs w:val="24"/>
              </w:rPr>
              <w:t>Rollback</w:t>
            </w:r>
            <w:proofErr w:type="spellEnd"/>
            <w:r w:rsidRPr="00C638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38BB">
              <w:rPr>
                <w:rFonts w:ascii="Times New Roman" w:hAnsi="Times New Roman" w:cs="Times New Roman"/>
                <w:sz w:val="24"/>
                <w:szCs w:val="24"/>
              </w:rPr>
              <w:t>Savepoint</w:t>
            </w:r>
            <w:proofErr w:type="spellEnd"/>
            <w:r w:rsidRPr="00C638BB">
              <w:rPr>
                <w:rFonts w:ascii="Times New Roman" w:hAnsi="Times New Roman" w:cs="Times New Roman"/>
                <w:sz w:val="24"/>
                <w:szCs w:val="24"/>
              </w:rPr>
              <w:t xml:space="preserve">, Commit.  </w:t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29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>Créer une nouvelle Table avec des enregistrements d’une autre table.</w:t>
            </w:r>
          </w:p>
          <w:p w:rsidR="00576FDF" w:rsidRPr="002A6D12" w:rsidRDefault="00576FDF" w:rsidP="00576FDF">
            <w:pPr>
              <w:numPr>
                <w:ilvl w:val="0"/>
                <w:numId w:val="23"/>
              </w:numPr>
              <w:ind w:left="576" w:right="-1" w:hanging="576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A6D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Vues.  </w:t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 xml:space="preserve">Définition d'une vue. </w:t>
            </w: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 xml:space="preserve">Création de vues. </w:t>
            </w: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 xml:space="preserve">Recherche de données à partir de vues. </w:t>
            </w: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>Modification de données par des vues.</w:t>
            </w: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 xml:space="preserve">Suppression de vues. </w:t>
            </w: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C638BB" w:rsidRDefault="00576FDF" w:rsidP="00576FDF">
            <w:pPr>
              <w:pStyle w:val="ListParagraph"/>
              <w:numPr>
                <w:ilvl w:val="0"/>
                <w:numId w:val="30"/>
              </w:numPr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 xml:space="preserve">Utilisation de vues comme mécanismes de sécurité. </w:t>
            </w:r>
            <w:r w:rsidRPr="00C638B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336" w:type="dxa"/>
          </w:tcPr>
          <w:p w:rsidR="00576FDF" w:rsidRDefault="00576FDF" w:rsidP="00576FDF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:rsidR="00576FDF" w:rsidRDefault="00576FDF" w:rsidP="00576FDF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Exercices permettant :</w:t>
            </w:r>
          </w:p>
          <w:p w:rsidR="00576FDF" w:rsidRDefault="00576FDF" w:rsidP="00576FDF">
            <w:pPr>
              <w:pStyle w:val="ListParagraph"/>
              <w:numPr>
                <w:ilvl w:val="0"/>
                <w:numId w:val="136"/>
              </w:numPr>
              <w:ind w:left="342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25539">
              <w:rPr>
                <w:rFonts w:asciiTheme="majorBidi" w:hAnsiTheme="majorBidi" w:cstheme="majorBidi"/>
                <w:bCs/>
                <w:sz w:val="24"/>
                <w:szCs w:val="24"/>
              </w:rPr>
              <w:t>d’utiliser les différentes commandes de LDD : création, modifi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cation et suppression de tables</w:t>
            </w:r>
          </w:p>
          <w:p w:rsidR="00576FDF" w:rsidRDefault="00576FDF" w:rsidP="00576FDF">
            <w:pPr>
              <w:pStyle w:val="ListParagraph"/>
              <w:numPr>
                <w:ilvl w:val="0"/>
                <w:numId w:val="136"/>
              </w:numPr>
              <w:ind w:left="342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25539">
              <w:rPr>
                <w:rFonts w:asciiTheme="majorBidi" w:hAnsiTheme="majorBidi" w:cstheme="majorBidi"/>
                <w:bCs/>
                <w:sz w:val="24"/>
                <w:szCs w:val="24"/>
              </w:rPr>
              <w:t>Utilisation de différentes contraintes</w:t>
            </w:r>
          </w:p>
          <w:p w:rsidR="00576FDF" w:rsidRDefault="00576FDF" w:rsidP="00576FDF">
            <w:pPr>
              <w:pStyle w:val="ListParagraph"/>
              <w:numPr>
                <w:ilvl w:val="0"/>
                <w:numId w:val="136"/>
              </w:numPr>
              <w:ind w:left="342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Utiliser la requête SELECT avec ses différentes clauses et options.</w:t>
            </w:r>
          </w:p>
          <w:p w:rsidR="00576FDF" w:rsidRDefault="00576FDF" w:rsidP="00576FDF">
            <w:pPr>
              <w:pStyle w:val="ListParagraph"/>
              <w:numPr>
                <w:ilvl w:val="0"/>
                <w:numId w:val="136"/>
              </w:numPr>
              <w:ind w:left="342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Utilisation de sous-requêtes</w:t>
            </w:r>
          </w:p>
          <w:p w:rsidR="00576FDF" w:rsidRDefault="00576FDF" w:rsidP="00576FDF">
            <w:pPr>
              <w:pStyle w:val="ListParagraph"/>
              <w:ind w:left="342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:rsidR="00576FDF" w:rsidRDefault="00576FDF" w:rsidP="00576FDF">
            <w:pPr>
              <w:pStyle w:val="ListParagraph"/>
              <w:numPr>
                <w:ilvl w:val="0"/>
                <w:numId w:val="136"/>
              </w:numPr>
              <w:ind w:left="342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Utilisation des commandes de LMD.</w:t>
            </w:r>
          </w:p>
          <w:p w:rsidR="00576FDF" w:rsidRPr="002D0966" w:rsidRDefault="00576FDF" w:rsidP="00576FDF">
            <w:pPr>
              <w:pStyle w:val="ListParagraph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:rsidR="00576FDF" w:rsidRPr="00325539" w:rsidRDefault="00576FDF" w:rsidP="00576FDF">
            <w:pPr>
              <w:pStyle w:val="ListParagraph"/>
              <w:numPr>
                <w:ilvl w:val="0"/>
                <w:numId w:val="136"/>
              </w:numPr>
              <w:ind w:left="342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Utilisation des vues</w:t>
            </w:r>
          </w:p>
          <w:p w:rsidR="00576FDF" w:rsidRDefault="00576FDF" w:rsidP="00576FDF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:rsidR="00576FDF" w:rsidRDefault="00576FDF" w:rsidP="00576FDF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:rsidR="00576FDF" w:rsidRPr="00D2292F" w:rsidRDefault="00576FDF" w:rsidP="00576FDF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576FDF" w:rsidRPr="004F65BA" w:rsidTr="00576FDF">
        <w:tc>
          <w:tcPr>
            <w:tcW w:w="6858" w:type="dxa"/>
          </w:tcPr>
          <w:p w:rsidR="00576FDF" w:rsidRPr="0017261D" w:rsidRDefault="00576FDF" w:rsidP="00576FDF">
            <w:pPr>
              <w:pStyle w:val="Titl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t>Chapitre 3</w:t>
            </w:r>
            <w:r>
              <w:rPr>
                <w:rFonts w:ascii="Times New Roman" w:hAnsi="Times New Roman" w:cs="Times New Roman"/>
                <w:caps w:val="0"/>
                <w:sz w:val="24"/>
                <w:szCs w:val="24"/>
              </w:rPr>
              <w:t> :</w:t>
            </w: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t xml:space="preserve"> La sécurité des données (4 h)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1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Objectives et vue générale.  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1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Privilèges de système et d'objet. 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1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Rôle, Utilisateur, Mot de passe.  </w:t>
            </w:r>
          </w:p>
          <w:p w:rsidR="00576FDF" w:rsidRPr="00027EF9" w:rsidRDefault="00576FDF" w:rsidP="00576FDF">
            <w:pPr>
              <w:pStyle w:val="ListParagraph"/>
              <w:numPr>
                <w:ilvl w:val="0"/>
                <w:numId w:val="31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Les Privilèges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: </w:t>
            </w: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Grant, </w:t>
            </w:r>
            <w:proofErr w:type="spellStart"/>
            <w:r w:rsidRPr="00487600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voke</w:t>
            </w:r>
            <w:proofErr w:type="spellEnd"/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76FDF" w:rsidRPr="004F65BA" w:rsidRDefault="00576FDF" w:rsidP="00576FDF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6" w:type="dxa"/>
          </w:tcPr>
          <w:p w:rsidR="00576FDF" w:rsidRPr="00D2292F" w:rsidRDefault="00576FDF" w:rsidP="00576FDF">
            <w:pPr>
              <w:pStyle w:val="ListParagraph"/>
              <w:ind w:left="1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92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Exercices permettant d’utiliser les commandes de création et gestion des utilisateurs et des rôles.</w:t>
            </w:r>
          </w:p>
        </w:tc>
      </w:tr>
      <w:tr w:rsidR="00576FDF" w:rsidRPr="004F65BA" w:rsidTr="00576FDF">
        <w:tc>
          <w:tcPr>
            <w:tcW w:w="6858" w:type="dxa"/>
          </w:tcPr>
          <w:p w:rsidR="00576FDF" w:rsidRPr="0017261D" w:rsidRDefault="00576FDF" w:rsidP="00576FDF">
            <w:pPr>
              <w:pStyle w:val="Titl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lastRenderedPageBreak/>
              <w:t>Chapitre 4</w:t>
            </w:r>
            <w:r>
              <w:rPr>
                <w:rFonts w:ascii="Times New Roman" w:hAnsi="Times New Roman" w:cs="Times New Roman"/>
                <w:caps w:val="0"/>
                <w:sz w:val="24"/>
                <w:szCs w:val="24"/>
              </w:rPr>
              <w:t> :</w:t>
            </w: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aps w:val="0"/>
                <w:sz w:val="24"/>
                <w:szCs w:val="24"/>
              </w:rPr>
              <w:t>A</w:t>
            </w: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t>rchitecture et outils de la base de données</w:t>
            </w:r>
            <w:r>
              <w:rPr>
                <w:rFonts w:ascii="Times New Roman" w:hAnsi="Times New Roman" w:cs="Times New Roman"/>
                <w:caps w:val="0"/>
                <w:sz w:val="24"/>
                <w:szCs w:val="24"/>
              </w:rPr>
              <w:t xml:space="preserve"> ORACLE</w:t>
            </w: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t>.  (1</w:t>
            </w:r>
            <w:r>
              <w:rPr>
                <w:rFonts w:ascii="Times New Roman" w:hAnsi="Times New Roman" w:cs="Times New Roman"/>
                <w:caps w:val="0"/>
                <w:sz w:val="24"/>
                <w:szCs w:val="24"/>
              </w:rPr>
              <w:t>2</w:t>
            </w: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t xml:space="preserve"> h)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Blocs de la Base de données, </w:t>
            </w:r>
            <w:proofErr w:type="spellStart"/>
            <w:r w:rsidRPr="00487600">
              <w:rPr>
                <w:rFonts w:ascii="Times New Roman" w:hAnsi="Times New Roman" w:cs="Times New Roman"/>
                <w:sz w:val="24"/>
                <w:szCs w:val="24"/>
              </w:rPr>
              <w:t>Extents</w:t>
            </w:r>
            <w:proofErr w:type="spellEnd"/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, Segments, </w:t>
            </w:r>
            <w:proofErr w:type="spellStart"/>
            <w:r w:rsidRPr="00487600">
              <w:rPr>
                <w:rFonts w:ascii="Times New Roman" w:hAnsi="Times New Roman" w:cs="Times New Roman"/>
                <w:sz w:val="24"/>
                <w:szCs w:val="24"/>
              </w:rPr>
              <w:t>Tablespaces</w:t>
            </w:r>
            <w:proofErr w:type="spellEnd"/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, …......  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Paramètres de stockage de Tableau et d'index.  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Vues intégrées (Pré-Fabriquer) nécessaires pour administrer la base de données.  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Dossiers de base de données, la région globale de système, processus de fond, dictionnaire de données...... 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Vues intégrées nécessaires pour administrer le système de gestion de bases de données.  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Gestion des accès concurrents 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>Le verrou mortel “</w:t>
            </w:r>
            <w:proofErr w:type="spellStart"/>
            <w:r w:rsidRPr="00487600">
              <w:rPr>
                <w:rFonts w:ascii="Times New Roman" w:hAnsi="Times New Roman" w:cs="Times New Roman"/>
                <w:sz w:val="24"/>
                <w:szCs w:val="24"/>
              </w:rPr>
              <w:t>Deadlock</w:t>
            </w:r>
            <w:proofErr w:type="spellEnd"/>
            <w:r w:rsidRPr="00487600">
              <w:rPr>
                <w:rFonts w:ascii="Times New Roman" w:hAnsi="Times New Roman" w:cs="Times New Roman"/>
                <w:sz w:val="24"/>
                <w:szCs w:val="24"/>
              </w:rPr>
              <w:t> »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>Le déblocage du verrou mortel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Sauve Gard (Backup) de la Base de données.  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>Recouvrement (</w:t>
            </w:r>
            <w:proofErr w:type="spellStart"/>
            <w:r w:rsidRPr="00487600">
              <w:rPr>
                <w:rFonts w:ascii="Times New Roman" w:hAnsi="Times New Roman" w:cs="Times New Roman"/>
                <w:sz w:val="24"/>
                <w:szCs w:val="24"/>
              </w:rPr>
              <w:t>Recovery</w:t>
            </w:r>
            <w:proofErr w:type="spellEnd"/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) de la Base de données.  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Exportation et importation.  </w:t>
            </w:r>
          </w:p>
          <w:p w:rsidR="00576FDF" w:rsidRPr="00487600" w:rsidRDefault="00576FDF" w:rsidP="00576FDF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7600">
              <w:rPr>
                <w:rFonts w:ascii="Times New Roman" w:hAnsi="Times New Roman" w:cs="Times New Roman"/>
                <w:sz w:val="24"/>
                <w:szCs w:val="24"/>
              </w:rPr>
              <w:t>Chargeur de Disques (Fixe-Format, Libre-</w:t>
            </w:r>
            <w:proofErr w:type="spellStart"/>
            <w:r w:rsidRPr="00487600">
              <w:rPr>
                <w:rFonts w:ascii="Times New Roman" w:hAnsi="Times New Roman" w:cs="Times New Roman"/>
                <w:sz w:val="24"/>
                <w:szCs w:val="24"/>
              </w:rPr>
              <w:t>Fomat</w:t>
            </w:r>
            <w:proofErr w:type="spellEnd"/>
            <w:r w:rsidRPr="00487600">
              <w:rPr>
                <w:rFonts w:ascii="Times New Roman" w:hAnsi="Times New Roman" w:cs="Times New Roman"/>
                <w:sz w:val="24"/>
                <w:szCs w:val="24"/>
              </w:rPr>
              <w:t xml:space="preserve">, Délimité).  </w:t>
            </w:r>
          </w:p>
          <w:p w:rsidR="00576FDF" w:rsidRPr="004F65BA" w:rsidRDefault="00576FDF" w:rsidP="00576FDF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</w:p>
        </w:tc>
        <w:tc>
          <w:tcPr>
            <w:tcW w:w="3336" w:type="dxa"/>
          </w:tcPr>
          <w:p w:rsidR="00576FDF" w:rsidRDefault="00576FDF" w:rsidP="00576FDF">
            <w:pPr>
              <w:pStyle w:val="ListParagraph"/>
              <w:ind w:left="1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6FDF" w:rsidRPr="00D2292F" w:rsidRDefault="00576FDF" w:rsidP="00576FDF">
            <w:pPr>
              <w:pStyle w:val="ListParagraph"/>
              <w:ind w:left="1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Exercices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concernant le stockage de données, les accès concurrents et le problème  d’inter blocage.</w:t>
            </w:r>
          </w:p>
        </w:tc>
      </w:tr>
      <w:tr w:rsidR="00576FDF" w:rsidRPr="004F65BA" w:rsidTr="00576FDF">
        <w:tc>
          <w:tcPr>
            <w:tcW w:w="6858" w:type="dxa"/>
          </w:tcPr>
          <w:p w:rsidR="00576FDF" w:rsidRPr="0017261D" w:rsidRDefault="00576FDF" w:rsidP="00576FDF">
            <w:pPr>
              <w:pStyle w:val="Titl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 w:val="0"/>
                <w:sz w:val="24"/>
                <w:szCs w:val="24"/>
              </w:rPr>
              <w:t>C</w:t>
            </w: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t>hapitre 5</w:t>
            </w:r>
            <w:r>
              <w:rPr>
                <w:rFonts w:ascii="Times New Roman" w:hAnsi="Times New Roman" w:cs="Times New Roman"/>
                <w:caps w:val="0"/>
                <w:sz w:val="24"/>
                <w:szCs w:val="24"/>
              </w:rPr>
              <w:t>:</w:t>
            </w: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t xml:space="preserve"> Le langage </w:t>
            </w:r>
            <w:r w:rsidRPr="0017261D">
              <w:rPr>
                <w:rFonts w:ascii="Times New Roman" w:hAnsi="Times New Roman" w:cs="Times New Roman"/>
                <w:sz w:val="24"/>
                <w:szCs w:val="24"/>
              </w:rPr>
              <w:t>PL/SQL 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Pr="0017261D">
              <w:rPr>
                <w:rFonts w:ascii="Times New Roman" w:hAnsi="Times New Roman" w:cs="Times New Roman"/>
                <w:caps w:val="0"/>
                <w:sz w:val="24"/>
                <w:szCs w:val="24"/>
              </w:rPr>
              <w:t>h</w:t>
            </w:r>
            <w:r w:rsidRPr="001726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76FDF" w:rsidRPr="004E6460" w:rsidRDefault="00576FDF" w:rsidP="00576FDF">
            <w:pPr>
              <w:pStyle w:val="ListParagraph"/>
              <w:numPr>
                <w:ilvl w:val="1"/>
                <w:numId w:val="22"/>
              </w:numPr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 xml:space="preserve">L’essentiel de  PL/SQL 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Objectives et Vue générale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PL/SQL types de données, Expre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ssions, variables, constants, etc.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PL/SQL syntax Bloc 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If declaration 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 xml:space="preserve">Loop </w:t>
            </w:r>
            <w:proofErr w:type="spellStart"/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declaration</w:t>
            </w:r>
            <w:proofErr w:type="spellEnd"/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Vecteurs (</w:t>
            </w:r>
            <w:proofErr w:type="spellStart"/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Arrays</w:t>
            </w:r>
            <w:proofErr w:type="spellEnd"/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Sous-programmes (procédures et fonctions)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Utilisation de procédures stockées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 xml:space="preserve">Recherche de données en utilisant PL/SQL 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 xml:space="preserve">Manipulation de données en utilisant PL/SQL 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Déclaration composite de types de données</w:t>
            </w:r>
          </w:p>
          <w:p w:rsidR="00576FDF" w:rsidRPr="004E6460" w:rsidRDefault="00576FDF" w:rsidP="00576FDF">
            <w:pPr>
              <w:pStyle w:val="ListParagraph"/>
              <w:numPr>
                <w:ilvl w:val="1"/>
                <w:numId w:val="22"/>
              </w:numPr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Curseurs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4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 xml:space="preserve">Définition d'un curseur 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4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Déclaration de curseurs (Explicite et implicite)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4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 xml:space="preserve">Curseurs et variables 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4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Curseurs avec paramètres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4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Extraction de lignes de données à l'aide de curseurs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4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Mise à jour et suppression de lignes à l'aide de curseurs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4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Fermeture et libération de curseurs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4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Exemple d'utilisation d'un curseur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4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Utilisation de curseurs dans des procédures stockées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4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Obtention d'informations relatives aux curseurs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4E6460" w:rsidRDefault="00576FDF" w:rsidP="00576FDF">
            <w:pPr>
              <w:pStyle w:val="ListParagraph"/>
              <w:numPr>
                <w:ilvl w:val="1"/>
                <w:numId w:val="22"/>
              </w:numPr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 xml:space="preserve"> Erreurs et Exceptions 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5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Objectives et Vue générale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5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Type d’Exception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5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Exception Intégrée (Prédéfinie)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5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Exception définie par utilisateur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22"/>
              </w:numPr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Déclencheur "Trigger" </w:t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6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Définition de déclencheur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6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Création de déclencheurs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6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Suppression de déclencheurs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6FDF" w:rsidRPr="004E6460" w:rsidRDefault="00576FDF" w:rsidP="00576FDF">
            <w:pPr>
              <w:pStyle w:val="ListParagraph"/>
              <w:numPr>
                <w:ilvl w:val="0"/>
                <w:numId w:val="36"/>
              </w:num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>Utilisation de déclencheur pour garantir l'intégrité référentielle</w:t>
            </w:r>
            <w:r w:rsidRPr="004E64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336" w:type="dxa"/>
          </w:tcPr>
          <w:p w:rsidR="00576FDF" w:rsidRDefault="00576FDF" w:rsidP="00576FDF">
            <w:pPr>
              <w:pStyle w:val="ListParagraph"/>
              <w:ind w:left="342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576FDF" w:rsidRDefault="00576FDF" w:rsidP="00576FDF">
            <w:pPr>
              <w:pStyle w:val="ListParagraph"/>
              <w:ind w:left="1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5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Exercices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permettant :</w:t>
            </w:r>
          </w:p>
          <w:p w:rsidR="00576FDF" w:rsidRDefault="00576FDF" w:rsidP="00576FDF">
            <w:pPr>
              <w:pStyle w:val="ListParagraph"/>
              <w:numPr>
                <w:ilvl w:val="0"/>
                <w:numId w:val="135"/>
              </w:numPr>
              <w:ind w:left="5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la </w:t>
            </w:r>
            <w:r w:rsidRPr="00325539">
              <w:rPr>
                <w:rFonts w:ascii="Times New Roman" w:hAnsi="Times New Roman" w:cs="Times New Roman"/>
                <w:bCs/>
                <w:sz w:val="24"/>
                <w:szCs w:val="24"/>
              </w:rPr>
              <w:t>définition de blocs, de fonctions et de procédures PL/SQL</w:t>
            </w:r>
          </w:p>
          <w:p w:rsidR="00576FDF" w:rsidRDefault="00576FDF" w:rsidP="00576FDF">
            <w:pPr>
              <w:pStyle w:val="ListParagraph"/>
              <w:numPr>
                <w:ilvl w:val="0"/>
                <w:numId w:val="135"/>
              </w:numPr>
              <w:ind w:left="5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539">
              <w:rPr>
                <w:rFonts w:ascii="Times New Roman" w:hAnsi="Times New Roman" w:cs="Times New Roman"/>
                <w:bCs/>
                <w:sz w:val="24"/>
                <w:szCs w:val="24"/>
              </w:rPr>
              <w:t>l’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utilisation des curseurs </w:t>
            </w:r>
          </w:p>
          <w:p w:rsidR="00576FDF" w:rsidRDefault="00576FDF" w:rsidP="00576FDF">
            <w:pPr>
              <w:pStyle w:val="ListParagraph"/>
              <w:numPr>
                <w:ilvl w:val="0"/>
                <w:numId w:val="135"/>
              </w:numPr>
              <w:ind w:left="5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5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 gestion des  exceptions</w:t>
            </w:r>
          </w:p>
          <w:p w:rsidR="00576FDF" w:rsidRDefault="00576FDF" w:rsidP="00576FDF">
            <w:pPr>
              <w:pStyle w:val="ListParagraph"/>
              <w:numPr>
                <w:ilvl w:val="0"/>
                <w:numId w:val="135"/>
              </w:numPr>
              <w:ind w:left="5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L’utilisation des triggers</w:t>
            </w:r>
          </w:p>
          <w:p w:rsidR="00576FDF" w:rsidRPr="00325539" w:rsidRDefault="00576FDF" w:rsidP="00576FDF">
            <w:pPr>
              <w:pStyle w:val="ListParagraph"/>
              <w:ind w:left="5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76FDF" w:rsidRPr="004F65BA" w:rsidRDefault="00576FDF" w:rsidP="00576FDF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576FDF" w:rsidRPr="004F65BA" w:rsidRDefault="00576FDF" w:rsidP="00576FDF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4F65BA">
        <w:rPr>
          <w:rFonts w:asciiTheme="majorBidi" w:hAnsiTheme="majorBidi" w:cstheme="majorBidi"/>
          <w:b/>
          <w:bCs/>
          <w:i/>
          <w:iCs/>
          <w:sz w:val="24"/>
          <w:szCs w:val="24"/>
        </w:rPr>
        <w:t>Méthodes d’enseignement</w:t>
      </w:r>
    </w:p>
    <w:p w:rsidR="00576FDF" w:rsidRPr="0017261D" w:rsidRDefault="00576FDF" w:rsidP="00576FD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Arial" w:hAnsi="Arial"/>
        </w:rPr>
        <w:t xml:space="preserve">         </w:t>
      </w:r>
      <w:r w:rsidRPr="0017261D">
        <w:rPr>
          <w:rFonts w:asciiTheme="majorBidi" w:hAnsiTheme="majorBidi" w:cstheme="majorBidi"/>
          <w:sz w:val="24"/>
          <w:szCs w:val="24"/>
        </w:rPr>
        <w:t xml:space="preserve"> Cours magistraux enrichis par des exemples et travaux pratiques.</w:t>
      </w:r>
    </w:p>
    <w:p w:rsidR="00576FDF" w:rsidRPr="0017261D" w:rsidRDefault="00576FDF" w:rsidP="00576FDF">
      <w:pPr>
        <w:spacing w:after="0" w:line="240" w:lineRule="auto"/>
        <w:ind w:left="54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:rsidR="00576FDF" w:rsidRPr="0017261D" w:rsidRDefault="00576FDF" w:rsidP="00576FDF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7261D">
        <w:rPr>
          <w:rFonts w:asciiTheme="majorBidi" w:hAnsiTheme="majorBidi" w:cstheme="majorBidi"/>
          <w:b/>
          <w:bCs/>
          <w:i/>
          <w:iCs/>
          <w:sz w:val="24"/>
          <w:szCs w:val="24"/>
        </w:rPr>
        <w:t>Méthodes d’évaluation</w:t>
      </w:r>
    </w:p>
    <w:p w:rsidR="00576FDF" w:rsidRPr="0017261D" w:rsidRDefault="00576FDF" w:rsidP="00576FDF">
      <w:pPr>
        <w:spacing w:after="0" w:line="240" w:lineRule="auto"/>
        <w:ind w:firstLine="720"/>
        <w:rPr>
          <w:rFonts w:asciiTheme="majorBidi" w:hAnsiTheme="majorBidi" w:cstheme="majorBidi"/>
          <w:sz w:val="24"/>
          <w:szCs w:val="24"/>
        </w:rPr>
      </w:pPr>
      <w:r w:rsidRPr="0017261D">
        <w:rPr>
          <w:rFonts w:asciiTheme="majorBidi" w:hAnsiTheme="majorBidi" w:cstheme="majorBidi"/>
          <w:sz w:val="24"/>
          <w:szCs w:val="24"/>
        </w:rPr>
        <w:t>Contrôles et examens écrits.</w:t>
      </w:r>
    </w:p>
    <w:p w:rsidR="00576FDF" w:rsidRDefault="00576FDF" w:rsidP="00576FD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576FDF" w:rsidRPr="009F585A" w:rsidRDefault="00576FDF" w:rsidP="00576FD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9F585A">
        <w:rPr>
          <w:rFonts w:asciiTheme="majorBidi" w:hAnsiTheme="majorBidi" w:cstheme="majorBidi"/>
          <w:b/>
          <w:bCs/>
          <w:sz w:val="24"/>
          <w:szCs w:val="24"/>
        </w:rPr>
        <w:t>Travaux pratiques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(60 h)</w:t>
      </w:r>
    </w:p>
    <w:p w:rsidR="00576FDF" w:rsidRDefault="00576FDF" w:rsidP="00576FDF">
      <w:pPr>
        <w:spacing w:before="120" w:after="120"/>
        <w:ind w:left="228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Les séances de TP doivent débuter par un rappel de SQL de TS1 puis elles doivent suivre le cours et les exercices dirigés.</w:t>
      </w:r>
    </w:p>
    <w:p w:rsidR="00576FDF" w:rsidRPr="00E076F9" w:rsidRDefault="00576FDF" w:rsidP="00576FD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576FDF" w:rsidRPr="004F65BA" w:rsidRDefault="00576FDF" w:rsidP="00576FDF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4F65BA">
        <w:rPr>
          <w:rFonts w:asciiTheme="majorBidi" w:hAnsiTheme="majorBidi" w:cstheme="majorBidi"/>
          <w:b/>
          <w:bCs/>
          <w:i/>
          <w:iCs/>
          <w:sz w:val="24"/>
          <w:szCs w:val="24"/>
        </w:rPr>
        <w:t>Références bibliographiques</w:t>
      </w:r>
    </w:p>
    <w:p w:rsidR="00576FDF" w:rsidRPr="004E6460" w:rsidRDefault="00576FDF" w:rsidP="00576FDF">
      <w:pPr>
        <w:numPr>
          <w:ilvl w:val="0"/>
          <w:numId w:val="37"/>
        </w:numPr>
        <w:spacing w:after="0" w:line="240" w:lineRule="auto"/>
        <w:ind w:left="547"/>
        <w:jc w:val="lowKashida"/>
        <w:rPr>
          <w:rFonts w:ascii="Times New Roman" w:hAnsi="Times New Roman" w:cs="Times New Roman"/>
          <w:sz w:val="24"/>
          <w:szCs w:val="24"/>
          <w:lang w:val="en-US" w:eastAsia="fr-FR"/>
        </w:rPr>
      </w:pPr>
      <w:r w:rsidRPr="004E6460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>Fundamentals of Database Systems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/ </w:t>
      </w:r>
      <w:proofErr w:type="spellStart"/>
      <w:r w:rsidRPr="004E6460">
        <w:rPr>
          <w:rFonts w:ascii="Times New Roman" w:hAnsi="Times New Roman" w:cs="Times New Roman"/>
          <w:i/>
          <w:iCs/>
          <w:sz w:val="24"/>
          <w:szCs w:val="24"/>
          <w:lang w:val="en-US" w:eastAsia="fr-FR"/>
        </w:rPr>
        <w:t>Ramez</w:t>
      </w:r>
      <w:proofErr w:type="spellEnd"/>
      <w:r w:rsidRPr="004E6460">
        <w:rPr>
          <w:rFonts w:ascii="Times New Roman" w:hAnsi="Times New Roman" w:cs="Times New Roman"/>
          <w:i/>
          <w:iCs/>
          <w:sz w:val="24"/>
          <w:szCs w:val="24"/>
          <w:lang w:val="en-US" w:eastAsia="fr-FR"/>
        </w:rPr>
        <w:t xml:space="preserve"> </w:t>
      </w:r>
      <w:r w:rsidRPr="004E6460">
        <w:rPr>
          <w:rFonts w:ascii="Times New Roman" w:hAnsi="Times New Roman" w:cs="Times New Roman"/>
          <w:i/>
          <w:iCs/>
          <w:caps/>
          <w:sz w:val="24"/>
          <w:szCs w:val="24"/>
          <w:lang w:val="en-US" w:eastAsia="fr-FR"/>
        </w:rPr>
        <w:t>Elmasri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/ 3</w:t>
      </w:r>
      <w:r w:rsidRPr="004E6460">
        <w:rPr>
          <w:rFonts w:ascii="Times New Roman" w:hAnsi="Times New Roman" w:cs="Times New Roman"/>
          <w:sz w:val="24"/>
          <w:szCs w:val="24"/>
          <w:vertAlign w:val="superscript"/>
          <w:lang w:val="en-US" w:eastAsia="fr-FR"/>
        </w:rPr>
        <w:t>d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Edition, Addison &amp; Wesley, 2000.</w:t>
      </w:r>
    </w:p>
    <w:p w:rsidR="00576FDF" w:rsidRPr="00F515A7" w:rsidRDefault="00576FDF" w:rsidP="00576FDF">
      <w:pPr>
        <w:numPr>
          <w:ilvl w:val="0"/>
          <w:numId w:val="37"/>
        </w:numPr>
        <w:spacing w:after="0" w:line="240" w:lineRule="auto"/>
        <w:ind w:left="547"/>
        <w:jc w:val="lowKashida"/>
        <w:rPr>
          <w:rFonts w:ascii="Times New Roman" w:hAnsi="Times New Roman" w:cs="Times New Roman"/>
          <w:sz w:val="24"/>
          <w:szCs w:val="24"/>
          <w:lang w:eastAsia="fr-FR"/>
        </w:rPr>
      </w:pPr>
      <w:r w:rsidRPr="00F515A7">
        <w:rPr>
          <w:rFonts w:ascii="Times New Roman" w:hAnsi="Times New Roman" w:cs="Times New Roman"/>
          <w:b/>
          <w:bCs/>
          <w:sz w:val="24"/>
          <w:szCs w:val="24"/>
          <w:lang w:eastAsia="fr-FR"/>
        </w:rPr>
        <w:t>Les bases de données, objet &amp; relationnel</w:t>
      </w:r>
      <w:r w:rsidRPr="00F515A7">
        <w:rPr>
          <w:rFonts w:ascii="Times New Roman" w:hAnsi="Times New Roman" w:cs="Times New Roman"/>
          <w:sz w:val="24"/>
          <w:szCs w:val="24"/>
          <w:lang w:eastAsia="fr-FR"/>
        </w:rPr>
        <w:t xml:space="preserve"> / </w:t>
      </w:r>
      <w:r w:rsidRPr="00F515A7">
        <w:rPr>
          <w:rFonts w:ascii="Times New Roman" w:hAnsi="Times New Roman" w:cs="Times New Roman"/>
          <w:i/>
          <w:iCs/>
          <w:sz w:val="24"/>
          <w:szCs w:val="24"/>
          <w:lang w:eastAsia="fr-FR"/>
        </w:rPr>
        <w:t xml:space="preserve">Georges </w:t>
      </w:r>
      <w:r w:rsidRPr="00F515A7">
        <w:rPr>
          <w:rFonts w:ascii="Times New Roman" w:hAnsi="Times New Roman" w:cs="Times New Roman"/>
          <w:i/>
          <w:iCs/>
          <w:caps/>
          <w:sz w:val="24"/>
          <w:szCs w:val="24"/>
          <w:lang w:eastAsia="fr-FR"/>
        </w:rPr>
        <w:t>Gardarin</w:t>
      </w:r>
      <w:r w:rsidRPr="00F515A7">
        <w:rPr>
          <w:rFonts w:ascii="Times New Roman" w:hAnsi="Times New Roman" w:cs="Times New Roman"/>
          <w:sz w:val="24"/>
          <w:szCs w:val="24"/>
          <w:lang w:eastAsia="fr-FR"/>
        </w:rPr>
        <w:t xml:space="preserve"> / Deuxième tirage, Eyrolles, 2000.</w:t>
      </w:r>
    </w:p>
    <w:p w:rsidR="00576FDF" w:rsidRPr="004E6460" w:rsidRDefault="00576FDF" w:rsidP="00576FDF">
      <w:pPr>
        <w:numPr>
          <w:ilvl w:val="0"/>
          <w:numId w:val="37"/>
        </w:numPr>
        <w:spacing w:after="0" w:line="240" w:lineRule="auto"/>
        <w:ind w:left="547" w:right="357"/>
        <w:jc w:val="lowKashida"/>
        <w:rPr>
          <w:rFonts w:ascii="Times New Roman" w:hAnsi="Times New Roman" w:cs="Times New Roman"/>
          <w:sz w:val="24"/>
          <w:szCs w:val="24"/>
          <w:lang w:val="en-US" w:eastAsia="fr-FR"/>
        </w:rPr>
      </w:pPr>
      <w:r w:rsidRPr="004E6460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>Database Management Systems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/ </w:t>
      </w:r>
      <w:r w:rsidRPr="004E6460">
        <w:rPr>
          <w:rFonts w:ascii="Times New Roman" w:hAnsi="Times New Roman" w:cs="Times New Roman"/>
          <w:i/>
          <w:iCs/>
          <w:sz w:val="24"/>
          <w:szCs w:val="24"/>
          <w:lang w:val="en-US" w:eastAsia="fr-FR"/>
        </w:rPr>
        <w:t xml:space="preserve">Raghu </w:t>
      </w:r>
      <w:r w:rsidRPr="004E6460">
        <w:rPr>
          <w:rFonts w:ascii="Times New Roman" w:hAnsi="Times New Roman" w:cs="Times New Roman"/>
          <w:i/>
          <w:iCs/>
          <w:caps/>
          <w:sz w:val="24"/>
          <w:szCs w:val="24"/>
          <w:lang w:val="en-US" w:eastAsia="fr-FR"/>
        </w:rPr>
        <w:t>Ramakrishman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/ 2</w:t>
      </w:r>
      <w:r w:rsidRPr="004E6460">
        <w:rPr>
          <w:rFonts w:ascii="Times New Roman" w:hAnsi="Times New Roman" w:cs="Times New Roman"/>
          <w:sz w:val="24"/>
          <w:szCs w:val="24"/>
          <w:vertAlign w:val="superscript"/>
          <w:lang w:val="en-US" w:eastAsia="fr-FR"/>
        </w:rPr>
        <w:t>d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Edition, Mc </w:t>
      </w:r>
      <w:proofErr w:type="spellStart"/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>Graw</w:t>
      </w:r>
      <w:proofErr w:type="spellEnd"/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>-Hill, 1999.</w:t>
      </w:r>
    </w:p>
    <w:p w:rsidR="00576FDF" w:rsidRPr="004E6460" w:rsidRDefault="00576FDF" w:rsidP="00576FDF">
      <w:pPr>
        <w:numPr>
          <w:ilvl w:val="0"/>
          <w:numId w:val="37"/>
        </w:numPr>
        <w:spacing w:after="0" w:line="240" w:lineRule="auto"/>
        <w:ind w:left="547" w:right="357"/>
        <w:jc w:val="lowKashida"/>
        <w:rPr>
          <w:rFonts w:ascii="Times New Roman" w:hAnsi="Times New Roman" w:cs="Times New Roman"/>
          <w:sz w:val="24"/>
          <w:szCs w:val="24"/>
          <w:lang w:val="en-US" w:eastAsia="fr-FR"/>
        </w:rPr>
      </w:pPr>
      <w:r w:rsidRPr="004E6460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>The Essence of Databases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/ </w:t>
      </w:r>
      <w:r w:rsidRPr="004E6460">
        <w:rPr>
          <w:rFonts w:ascii="Times New Roman" w:hAnsi="Times New Roman" w:cs="Times New Roman"/>
          <w:i/>
          <w:iCs/>
          <w:sz w:val="24"/>
          <w:szCs w:val="24"/>
          <w:lang w:val="en-US" w:eastAsia="fr-FR"/>
        </w:rPr>
        <w:t xml:space="preserve">F. D. </w:t>
      </w:r>
      <w:r w:rsidRPr="004E6460">
        <w:rPr>
          <w:rFonts w:ascii="Times New Roman" w:hAnsi="Times New Roman" w:cs="Times New Roman"/>
          <w:i/>
          <w:iCs/>
          <w:caps/>
          <w:sz w:val="24"/>
          <w:szCs w:val="24"/>
          <w:lang w:val="en-US" w:eastAsia="fr-FR"/>
        </w:rPr>
        <w:t>Rolland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/ Prentice Hall, 1998.</w:t>
      </w:r>
    </w:p>
    <w:p w:rsidR="00576FDF" w:rsidRPr="004E6460" w:rsidRDefault="00576FDF" w:rsidP="00576FDF">
      <w:pPr>
        <w:numPr>
          <w:ilvl w:val="0"/>
          <w:numId w:val="37"/>
        </w:numPr>
        <w:spacing w:after="0" w:line="240" w:lineRule="auto"/>
        <w:ind w:left="547" w:right="357"/>
        <w:jc w:val="lowKashida"/>
        <w:rPr>
          <w:rFonts w:ascii="Times New Roman" w:hAnsi="Times New Roman" w:cs="Times New Roman"/>
          <w:sz w:val="24"/>
          <w:szCs w:val="24"/>
          <w:lang w:val="en-US" w:eastAsia="fr-FR"/>
        </w:rPr>
      </w:pPr>
      <w:r w:rsidRPr="004E6460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>Database Management Systems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/ </w:t>
      </w:r>
      <w:r w:rsidRPr="004E6460">
        <w:rPr>
          <w:rFonts w:ascii="Times New Roman" w:hAnsi="Times New Roman" w:cs="Times New Roman"/>
          <w:i/>
          <w:iCs/>
          <w:sz w:val="24"/>
          <w:szCs w:val="24"/>
          <w:lang w:val="en-US" w:eastAsia="fr-FR"/>
        </w:rPr>
        <w:t xml:space="preserve">Gerald </w:t>
      </w:r>
      <w:r w:rsidRPr="004E6460">
        <w:rPr>
          <w:rFonts w:ascii="Times New Roman" w:hAnsi="Times New Roman" w:cs="Times New Roman"/>
          <w:i/>
          <w:iCs/>
          <w:caps/>
          <w:sz w:val="24"/>
          <w:szCs w:val="24"/>
          <w:lang w:val="en-US" w:eastAsia="fr-FR"/>
        </w:rPr>
        <w:t>Post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/ Mc </w:t>
      </w:r>
      <w:proofErr w:type="spellStart"/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>Graw</w:t>
      </w:r>
      <w:proofErr w:type="spellEnd"/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>-Hill, 1998.</w:t>
      </w:r>
    </w:p>
    <w:p w:rsidR="00576FDF" w:rsidRPr="004E6460" w:rsidRDefault="00576FDF" w:rsidP="00576FDF">
      <w:pPr>
        <w:numPr>
          <w:ilvl w:val="0"/>
          <w:numId w:val="37"/>
        </w:numPr>
        <w:spacing w:after="0" w:line="240" w:lineRule="auto"/>
        <w:ind w:left="547" w:right="357"/>
        <w:jc w:val="lowKashida"/>
        <w:rPr>
          <w:rFonts w:ascii="Times New Roman" w:hAnsi="Times New Roman" w:cs="Times New Roman"/>
          <w:sz w:val="24"/>
          <w:szCs w:val="24"/>
          <w:lang w:val="en-US" w:eastAsia="fr-FR"/>
        </w:rPr>
      </w:pPr>
      <w:r w:rsidRPr="004E6460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>An Introduction to Database Systems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/ </w:t>
      </w:r>
      <w:r w:rsidRPr="004E6460">
        <w:rPr>
          <w:rFonts w:ascii="Times New Roman" w:hAnsi="Times New Roman" w:cs="Times New Roman"/>
          <w:i/>
          <w:iCs/>
          <w:sz w:val="24"/>
          <w:szCs w:val="24"/>
          <w:lang w:val="en-US" w:eastAsia="fr-FR"/>
        </w:rPr>
        <w:t xml:space="preserve">C. J. </w:t>
      </w:r>
      <w:r w:rsidRPr="004E6460">
        <w:rPr>
          <w:rFonts w:ascii="Times New Roman" w:hAnsi="Times New Roman" w:cs="Times New Roman"/>
          <w:i/>
          <w:iCs/>
          <w:caps/>
          <w:sz w:val="24"/>
          <w:szCs w:val="24"/>
          <w:lang w:val="en-US" w:eastAsia="fr-FR"/>
        </w:rPr>
        <w:t>Date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/ 7</w:t>
      </w:r>
      <w:r w:rsidRPr="004E6460">
        <w:rPr>
          <w:rFonts w:ascii="Times New Roman" w:hAnsi="Times New Roman" w:cs="Times New Roman"/>
          <w:sz w:val="24"/>
          <w:szCs w:val="24"/>
          <w:vertAlign w:val="superscript"/>
          <w:lang w:val="en-US" w:eastAsia="fr-FR"/>
        </w:rPr>
        <w:t>th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Edition, Addison &amp; Wesley, 1999.</w:t>
      </w:r>
    </w:p>
    <w:p w:rsidR="00576FDF" w:rsidRPr="004E6460" w:rsidRDefault="00576FDF" w:rsidP="00576FDF">
      <w:pPr>
        <w:numPr>
          <w:ilvl w:val="0"/>
          <w:numId w:val="37"/>
        </w:numPr>
        <w:spacing w:after="0" w:line="240" w:lineRule="auto"/>
        <w:ind w:left="547"/>
        <w:jc w:val="lowKashida"/>
        <w:rPr>
          <w:rFonts w:ascii="Times New Roman" w:hAnsi="Times New Roman" w:cs="Times New Roman"/>
          <w:sz w:val="24"/>
          <w:szCs w:val="24"/>
          <w:lang w:val="en-US" w:eastAsia="fr-FR"/>
        </w:rPr>
      </w:pPr>
      <w:r w:rsidRPr="004E6460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 xml:space="preserve">Oracle8i la </w:t>
      </w:r>
      <w:proofErr w:type="spellStart"/>
      <w:r w:rsidRPr="004E6460">
        <w:rPr>
          <w:rFonts w:ascii="Times New Roman" w:hAnsi="Times New Roman" w:cs="Times New Roman"/>
          <w:b/>
          <w:bCs/>
          <w:sz w:val="24"/>
          <w:szCs w:val="24"/>
          <w:lang w:val="en-US" w:eastAsia="fr-FR"/>
        </w:rPr>
        <w:t>référence</w:t>
      </w:r>
      <w:proofErr w:type="spellEnd"/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/ </w:t>
      </w:r>
      <w:r w:rsidRPr="004E6460">
        <w:rPr>
          <w:rFonts w:ascii="Times New Roman" w:hAnsi="Times New Roman" w:cs="Times New Roman"/>
          <w:i/>
          <w:iCs/>
          <w:sz w:val="24"/>
          <w:szCs w:val="24"/>
          <w:lang w:val="en-US" w:eastAsia="fr-FR"/>
        </w:rPr>
        <w:t xml:space="preserve">Kevin </w:t>
      </w:r>
      <w:proofErr w:type="spellStart"/>
      <w:r w:rsidRPr="004E6460">
        <w:rPr>
          <w:rFonts w:ascii="Times New Roman" w:hAnsi="Times New Roman" w:cs="Times New Roman"/>
          <w:i/>
          <w:iCs/>
          <w:sz w:val="24"/>
          <w:szCs w:val="24"/>
          <w:lang w:val="en-US" w:eastAsia="fr-FR"/>
        </w:rPr>
        <w:t>Loney</w:t>
      </w:r>
      <w:proofErr w:type="spellEnd"/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/ </w:t>
      </w:r>
      <w:r w:rsidRPr="004E6460">
        <w:rPr>
          <w:rFonts w:ascii="Times New Roman" w:hAnsi="Times New Roman" w:cs="Times New Roman"/>
          <w:i/>
          <w:iCs/>
          <w:sz w:val="24"/>
          <w:szCs w:val="24"/>
          <w:lang w:val="en-US" w:eastAsia="fr-FR"/>
        </w:rPr>
        <w:t>George Koch</w:t>
      </w:r>
      <w:r w:rsidRPr="004E6460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/ Campus Press 02/2001</w:t>
      </w:r>
    </w:p>
    <w:p w:rsidR="00017169" w:rsidRPr="001B3076" w:rsidRDefault="00017169" w:rsidP="00566FCF">
      <w:pPr>
        <w:rPr>
          <w:rFonts w:asciiTheme="majorBidi" w:hAnsiTheme="majorBidi" w:cstheme="majorBidi"/>
          <w:sz w:val="24"/>
          <w:szCs w:val="24"/>
          <w:lang w:eastAsia="fr-FR"/>
        </w:rPr>
      </w:pPr>
      <w:bookmarkStart w:id="0" w:name="_GoBack"/>
      <w:bookmarkEnd w:id="0"/>
    </w:p>
    <w:sectPr w:rsidR="00017169" w:rsidRPr="001B3076" w:rsidSect="00B26A63">
      <w:headerReference w:type="default" r:id="rId11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04B" w:rsidRDefault="00EF204B" w:rsidP="00926C2D">
      <w:pPr>
        <w:spacing w:after="0" w:line="240" w:lineRule="auto"/>
      </w:pPr>
      <w:r>
        <w:separator/>
      </w:r>
    </w:p>
  </w:endnote>
  <w:end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04B" w:rsidRDefault="00EF204B" w:rsidP="00926C2D">
      <w:pPr>
        <w:spacing w:after="0" w:line="240" w:lineRule="auto"/>
      </w:pPr>
      <w:r>
        <w:separator/>
      </w:r>
    </w:p>
  </w:footnote>
  <w:foot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576FDF" w:rsidRPr="00943674">
      <w:trPr>
        <w:trHeight w:val="288"/>
      </w:trPr>
      <w:tc>
        <w:tcPr>
          <w:tcW w:w="7765" w:type="dxa"/>
        </w:tcPr>
        <w:p w:rsidR="00576FDF" w:rsidRPr="00943674" w:rsidRDefault="00576FDF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76FDF" w:rsidRPr="00943674" w:rsidRDefault="00576FDF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76FDF" w:rsidRDefault="00576F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0423F"/>
    <w:rsid w:val="00010065"/>
    <w:rsid w:val="00017169"/>
    <w:rsid w:val="00024191"/>
    <w:rsid w:val="000364D3"/>
    <w:rsid w:val="00050F56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1FE5"/>
    <w:rsid w:val="00275AE6"/>
    <w:rsid w:val="00286817"/>
    <w:rsid w:val="00296F49"/>
    <w:rsid w:val="002C3731"/>
    <w:rsid w:val="002C443D"/>
    <w:rsid w:val="002D7675"/>
    <w:rsid w:val="002D7FC1"/>
    <w:rsid w:val="002E22A8"/>
    <w:rsid w:val="002F40CE"/>
    <w:rsid w:val="002F4CBD"/>
    <w:rsid w:val="002F639C"/>
    <w:rsid w:val="003022D0"/>
    <w:rsid w:val="0030303F"/>
    <w:rsid w:val="003051BF"/>
    <w:rsid w:val="00310FDA"/>
    <w:rsid w:val="003170D1"/>
    <w:rsid w:val="00341516"/>
    <w:rsid w:val="00362CA9"/>
    <w:rsid w:val="003776AD"/>
    <w:rsid w:val="00381A7C"/>
    <w:rsid w:val="00383085"/>
    <w:rsid w:val="00385A1C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4C18"/>
    <w:rsid w:val="004E2719"/>
    <w:rsid w:val="004F65BA"/>
    <w:rsid w:val="0052163F"/>
    <w:rsid w:val="005339DD"/>
    <w:rsid w:val="005349D6"/>
    <w:rsid w:val="00546B58"/>
    <w:rsid w:val="00552A33"/>
    <w:rsid w:val="00553067"/>
    <w:rsid w:val="00563D0A"/>
    <w:rsid w:val="00566FCF"/>
    <w:rsid w:val="005737C6"/>
    <w:rsid w:val="00576FDF"/>
    <w:rsid w:val="00577B4D"/>
    <w:rsid w:val="0058152B"/>
    <w:rsid w:val="005C61E8"/>
    <w:rsid w:val="005D4E51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7F647C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C715E"/>
    <w:rsid w:val="00BE45F4"/>
    <w:rsid w:val="00BE4D43"/>
    <w:rsid w:val="00BF1E4A"/>
    <w:rsid w:val="00C07027"/>
    <w:rsid w:val="00C2575F"/>
    <w:rsid w:val="00C32555"/>
    <w:rsid w:val="00C34E19"/>
    <w:rsid w:val="00C673BB"/>
    <w:rsid w:val="00C82459"/>
    <w:rsid w:val="00C836CD"/>
    <w:rsid w:val="00C85A60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B1CAB"/>
    <w:rsid w:val="00EB3A9C"/>
    <w:rsid w:val="00EB4538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507AB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E5EF6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lsi.supelec.fr/www/yb/poly_bd/sql/poly_40.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lsi.supelec.fr/www/yb/poly_bd/sql/poly_4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6F7A3A-A1AE-47E8-9D53-50D72F345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26</cp:revision>
  <cp:lastPrinted>2014-02-14T09:41:00Z</cp:lastPrinted>
  <dcterms:created xsi:type="dcterms:W3CDTF">2014-02-14T09:50:00Z</dcterms:created>
  <dcterms:modified xsi:type="dcterms:W3CDTF">2019-07-24T06:05:00Z</dcterms:modified>
</cp:coreProperties>
</file>